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D9" w:rsidRPr="008515D9" w:rsidRDefault="008515D9" w:rsidP="0085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5D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EDUCATION CODE </w:t>
      </w:r>
      <w:r w:rsidR="00AA1B8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- </w:t>
      </w:r>
      <w:r w:rsidRPr="008515D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SECTION 54690-54697 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>54690.  (a) The Legislature hereby finds and declares that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partnership academies program has proven to be a highly effective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state-school-private sector partnership, providing combined academic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and occupational training to high school pupils who present a high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risk of dropping out of school, and motivating those pupils to stay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in school and graduate. Partnership academies are functioning in high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schools across the state, with occupational education and skills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development successfully offered in California's 15 different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industry sectors, including electronics, computer technology,</w:t>
      </w:r>
      <w:r>
        <w:rPr>
          <w:rFonts w:eastAsia="Times New Roman" w:cstheme="minorHAnsi"/>
          <w:sz w:val="24"/>
          <w:szCs w:val="24"/>
        </w:rPr>
        <w:t xml:space="preserve">  </w:t>
      </w:r>
      <w:r w:rsidRPr="008515D9">
        <w:rPr>
          <w:rFonts w:eastAsia="Times New Roman" w:cstheme="minorHAnsi"/>
          <w:sz w:val="24"/>
          <w:szCs w:val="24"/>
        </w:rPr>
        <w:t>finance, agribusiness, alternative energy, environmental design and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construction, graphic arts and printing, international business, and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space. Partnership academies have been honored with national awards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for excellence, and the California partnership academies have been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given high accolades in various textbooks and studies addressing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career technical education programs.</w:t>
      </w:r>
    </w:p>
    <w:p w:rsidR="007E291C" w:rsidRPr="008515D9" w:rsidRDefault="007E291C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515D9" w:rsidRPr="008515D9" w:rsidRDefault="008515D9" w:rsidP="00FE0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(b) The Legislature finds the partnership academies are in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forefront of school efforts to integrate academic and career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technical education and that they can be effective in providing an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integrated learning program and high motivation toward pursuing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skilled occupational fields to pupils at risk of dropping out of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school and to pupils not motivated by the regular educational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curriculum. Further, the Legislature finds the partnership academies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can make a very positive contribution towards meeting the needs of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the state for a highly skilled and educated workforce in the 21</w:t>
      </w:r>
      <w:r w:rsidRPr="008515D9">
        <w:rPr>
          <w:rFonts w:eastAsia="Times New Roman" w:cstheme="minorHAnsi"/>
          <w:sz w:val="24"/>
          <w:szCs w:val="24"/>
          <w:vertAlign w:val="superscript"/>
        </w:rPr>
        <w:t>st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century.</w:t>
      </w:r>
    </w:p>
    <w:p w:rsidR="007E291C" w:rsidRDefault="007E291C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(c) Therefore, the Legislature hereby states its intent to expand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the number of partnership academies in this state's high schools,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hereafter to be known as California Partnership Academies; to broaden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the availability of these learning experiences to interested pupils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who do not meet the criteria of "at-risk" pupils; and to encourage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the establishment of academies whose occupational fields address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needs of developing technologies.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(d) For purposes of this article, an "at-risk" pupil means a pupil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 xml:space="preserve">enrolled in high school </w:t>
      </w:r>
      <w:proofErr w:type="gramStart"/>
      <w:r w:rsidRPr="008515D9">
        <w:rPr>
          <w:rFonts w:eastAsia="Times New Roman" w:cstheme="minorHAnsi"/>
          <w:sz w:val="24"/>
          <w:szCs w:val="24"/>
        </w:rPr>
        <w:t>who</w:t>
      </w:r>
      <w:proofErr w:type="gramEnd"/>
      <w:r w:rsidRPr="008515D9">
        <w:rPr>
          <w:rFonts w:eastAsia="Times New Roman" w:cstheme="minorHAnsi"/>
          <w:sz w:val="24"/>
          <w:szCs w:val="24"/>
        </w:rPr>
        <w:t xml:space="preserve"> is at risk of dropping out of school, as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indicated by at least three of the following criteria: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(1) Past record of irregular attendance. For purposes of this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section, "irregular attendance" means absence from school 20 percent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or more of the school year.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(2) Past record of underachievement in which the pupil is at least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one-third of a year behind the coursework for the respective grade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level, or as demonstrated by credits achieved.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(3) Past record of low motivation or a disinterest in the regular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school program.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(4) Disadvantaged economically.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(5) Scoring below basic or far below basic in mathematics or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English language arts on the standardized test administered pursuant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to Article 4 (commencing with Section 60640) of Chapter 5 of Part 33.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(6) Maintaining a grade point average of 2.2 or below, or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equivalent of a C minus.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(e) Up to one-half of the pupils enrolled at a partnership academy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may be pupils who do not meet the criteria of "at-risk" pupils.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(f) The department may expend no more than 5 percent of the funds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received to carry out this article on administrative expenses.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>54691.  Commencing with the 1993-94 fiscal year, from the funds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appropriated for that purpose, the Superintendent shall issue grants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to school districts maintaining high schools that meet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specifications of Section 54692, for purposes of planning,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establishing, and maintaining academies, as follows: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lastRenderedPageBreak/>
        <w:t xml:space="preserve">   (a) The Superintendent may issue planning grants for purposes of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planning partnership academies. The Superintendent shall ensure that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the planning grants are equitably distributed among high-wealth and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low-wealth school districts in urban, rural, and suburban areas. Each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planning grant shall be in the amount of fifteen thousand dollars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($15,000).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 xml:space="preserve"> (b) For the 1993-94 fiscal </w:t>
      </w:r>
      <w:proofErr w:type="gramStart"/>
      <w:r>
        <w:rPr>
          <w:rFonts w:eastAsia="Times New Roman" w:cstheme="minorHAnsi"/>
          <w:sz w:val="24"/>
          <w:szCs w:val="24"/>
        </w:rPr>
        <w:t>year</w:t>
      </w:r>
      <w:proofErr w:type="gramEnd"/>
      <w:r w:rsidRPr="008515D9">
        <w:rPr>
          <w:rFonts w:eastAsia="Times New Roman" w:cstheme="minorHAnsi"/>
          <w:sz w:val="24"/>
          <w:szCs w:val="24"/>
        </w:rPr>
        <w:t>, and each fiscal year thereafter,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the Superintendent may issue grants for the implementation and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maintenance of existing academies or academies planned pursuant to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subdivision (a). Implementation and maintenance grants shall be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calculated in accordance with the following schedule: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(1) Districts operating academies may receive one thousand four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hundred dollars ($1,400) per year for each qualified pupil enrolled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in an academy during the first year of that academy's operation,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provided that no more than forty-two thousand dollars ($42,000) may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be granted to any one academy for the initial year.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(2) Districts operating academies may receive one thousand two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hundred dollars ($1,200) for each qualified pupil enrolled in an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academy during the second year of that academy's operation, provided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that no more than seventy-two thousand dollars ($72,000) may be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granted to any one academy for the second year.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(3) Districts operating academies may receive nine hundred dollars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($900) for each qualified pupil enrolled in an academy during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third and following years of that academy's operation, provided that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no more than eighty-one thousand dollars ($81,000) may be granted to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any one academy for each fiscal year.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(c) For purposes of this section, a qualified pupil is a pupil who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is enrolled in a partnership academy for the 10th, 11th, or 12</w:t>
      </w:r>
      <w:r w:rsidRPr="008515D9">
        <w:rPr>
          <w:rFonts w:eastAsia="Times New Roman" w:cstheme="minorHAnsi"/>
          <w:sz w:val="24"/>
          <w:szCs w:val="24"/>
          <w:vertAlign w:val="superscript"/>
        </w:rPr>
        <w:t>th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grade, obtains 90 percent of the credits each academic year in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courses that are required for graduation, and does any of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following: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(1) Successfully completes a school year during the 10th grade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with an attendance record of no less than 80 percent.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(2) Successfully completes a school year during the 11th grade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with an attendance record of no less than 80 percent.</w:t>
      </w:r>
    </w:p>
    <w:p w:rsid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(3) Successfully graduates after the 12th grade.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>A pupil enrolled in an academy who successfully completes only one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semester with regard to enrollment, attendance, and credits within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the school year is considered qualified for that semester and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district may receive one-half of the funds specified under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subdivision (b) for that pupil.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(d) At the end of each school year, school districts that have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been approved to operate academies pursuant to this article shall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certify the following information to the Superintendent: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(1) The operation of each academy in accordance with this article,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including Sections 54692 and 54694.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(2) The number of qualified pupils enrolled during the just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completed school year, by grade level, for each academy operated by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the district.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(3) The amount of matching funds and the dollar value of in-kind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support made available to each academy in accordance with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subdivisions (a) and (b) of Section 54692.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(e) The Superintendent shall adjust each school district's grant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in accordance with the certification made to him or her pursuant to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subdivision (d) or in accordance with any discrepancies to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certification that may be revealed by audit. Notwithstanding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provisions of this section, the Superintendent may advance up to 50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percent of the funds as he or she deems appropriate to districts that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are approved to operate, or plan to operate partnership academies.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(f) Funds granted to school districts pursuant to this article may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be expended without regard to fiscal year. However, the funds must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be expended for the maintenance and operation of academies.</w:t>
      </w:r>
    </w:p>
    <w:p w:rsidR="007E291C" w:rsidRPr="008515D9" w:rsidRDefault="007E291C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lastRenderedPageBreak/>
        <w:t>54692.  In order to be eligible to receive funding pursuant to this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article, a school district shall provide all of the following:</w:t>
      </w:r>
    </w:p>
    <w:p w:rsidR="007E291C" w:rsidRPr="008515D9" w:rsidRDefault="007E291C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(a) An amount equal to a 100 percent match of all funds received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pursuant to this article in the form of direct and in-kind support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provided by the district.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(b) An amount equal to a 100 percent match of all funds received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pursuant to this article in the form of direct and in-kind support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provided by participating companies or other private sector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organizations.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(c) An assurance that state funds provided by the partnership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academies program shall be used only for the development, operation,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and support of partnership academies.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(d) An assurance that each academy will be established as a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"school within a school." Academy teachers shall work as a team in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planning, teaching, and troubleshooting program activities. Classes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in the academy program shall be limited to academy pupils as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specified in subdivision (e). Each participating school district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shall establish an advisory committee consisting of individuals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involved in academy operations, including school district and school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administrators, lead teachers, and representatives of the private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sector.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(e) Assurance that each academy pupil will be provided with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following: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(1) Instruction in at least three academic subjects each regular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school term that prepares the pupil for a regular high school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diploma, and, where possible and appropriate, to meet the subject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requirements for admission to the California State University and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University of California. These subjects should contribute to an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understanding of the occupational field of the academy.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(2) Career technical education courses offered at each grade level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at the academy that are part of an occupational course sequence that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targets comprehensive skills and that does the following: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(A) Provides career technical education in high skill occupations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of regional and local economic need.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(B) Focuses on occupations requiring comprehensive skills leading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to higher than entry-level wages, or the possibility of significant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wage increases after a few years on the job, or both.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(C) Provides a sequence of courses that build upon each other in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knowledge, skill development, and experience, and ends in a capstone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course that includes an internship component.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(D) Prepares pupils for employment and postsecondary education.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Sequenced courses shall be linked to certificate and degree programs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in the region, where possible.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(E) Whenever possible, prepares pupils for industry-recognized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certifications.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(F) Whenever possible and appropriate, offers career technical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education courses that also meet the subject requirements for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admission to the California State University and the University of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California.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(3) A class schedule that limits the attendance to the classes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required in paragraphs (1) and (2) to pupils of the academy. Whenever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possible, these classes should be block scheduled in a cluster to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provide flexibility to academy teachers. During the 12th grade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number of academic classes may vary.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(4) A mentor from the business community during the pupil's 11</w:t>
      </w:r>
      <w:r w:rsidRPr="008515D9">
        <w:rPr>
          <w:rFonts w:eastAsia="Times New Roman" w:cstheme="minorHAnsi"/>
          <w:sz w:val="24"/>
          <w:szCs w:val="24"/>
          <w:vertAlign w:val="superscript"/>
        </w:rPr>
        <w:t>th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grade year.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(5) An employer-based internship or work experience that occurs in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the summer following the 11th grade or during 12th grade year.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(6) Additional motivational activities with private sector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involvement to encourage academic and occupational preparation.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8515D9" w:rsidRPr="008515D9" w:rsidRDefault="008515D9" w:rsidP="007E2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(f) Assurance that academy teachers have a common planning period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to interchange pupil and educational information. A second planning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period should be provided for the lead teacher in addition to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normal planning period for full-time teachers and be supported as a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part of the school district's matching funds, whenever practical.</w:t>
      </w:r>
    </w:p>
    <w:p w:rsid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291C" w:rsidRDefault="007E291C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lastRenderedPageBreak/>
        <w:t>54693.  The Superintendent of Public Instruction shall establish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eligibility criteria for school districts that apply for grants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pursuant to this article. When establishing criteria,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superintendent shall consider the commitment and need of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applicant district. The superintendent may consider district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indicators of need such as the number or percent of pupils in poverty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or with limited English proficiency, and the dropout rate.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>54694.  The Superintendent of Public Instruction shall develop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guidelines with respect to the California Partnership Academies.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guidelines shall include, but not be limited to, enrollment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provisions, application procedures, and student eligibility.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>54695.  (a) The ninth grade teachers and counselors in schools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maintained by school districts approved to operate academies pursuant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to this article shall identify students eligible to participate in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an academy.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(b) Teachers and counselors in schools maintained by school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 xml:space="preserve">districts approved to operate academies </w:t>
      </w:r>
      <w:bookmarkStart w:id="0" w:name="_GoBack"/>
      <w:bookmarkEnd w:id="0"/>
      <w:r w:rsidRPr="008515D9">
        <w:rPr>
          <w:rFonts w:eastAsia="Times New Roman" w:cstheme="minorHAnsi"/>
          <w:sz w:val="24"/>
          <w:szCs w:val="24"/>
        </w:rPr>
        <w:t>pursuant to this article,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business representatives, and academy students of academies that are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operating in the area shall be encouraged to make presentations to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prospective students and their parents.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(c) The staff of each academy shall select students from among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those who have expressed an interest in the academy and whose parents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or guardians have approved the student's participation.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>54696.  The Legislature finds that each new academy requires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technical assistance for the academy team, administrators, teachers,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and private sector participants in the multiple aspects of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academy program that differ from the standard high school program. To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provide for the transfer of the experiences gained in the operation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of currently successful academies to new academies,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 xml:space="preserve">Superintendent of Public Instruction shall develop a </w:t>
      </w:r>
      <w:proofErr w:type="gramStart"/>
      <w:r w:rsidRPr="008515D9">
        <w:rPr>
          <w:rFonts w:eastAsia="Times New Roman" w:cstheme="minorHAnsi"/>
          <w:sz w:val="24"/>
          <w:szCs w:val="24"/>
        </w:rPr>
        <w:t>technical</w:t>
      </w:r>
      <w:r>
        <w:rPr>
          <w:rFonts w:eastAsia="Times New Roman" w:cstheme="minorHAnsi"/>
          <w:sz w:val="24"/>
          <w:szCs w:val="24"/>
        </w:rPr>
        <w:t xml:space="preserve">  </w:t>
      </w:r>
      <w:r w:rsidRPr="008515D9">
        <w:rPr>
          <w:rFonts w:eastAsia="Times New Roman" w:cstheme="minorHAnsi"/>
          <w:sz w:val="24"/>
          <w:szCs w:val="24"/>
        </w:rPr>
        <w:t>assistance</w:t>
      </w:r>
      <w:proofErr w:type="gramEnd"/>
      <w:r w:rsidRPr="008515D9">
        <w:rPr>
          <w:rFonts w:eastAsia="Times New Roman" w:cstheme="minorHAnsi"/>
          <w:sz w:val="24"/>
          <w:szCs w:val="24"/>
        </w:rPr>
        <w:t xml:space="preserve"> team whose members have prior involvement in successful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academy operation and make their expertise available, as necessary,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to each new academy during its first two years of operation.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>54697.  (</w:t>
      </w:r>
      <w:proofErr w:type="gramStart"/>
      <w:r w:rsidRPr="008515D9">
        <w:rPr>
          <w:rFonts w:eastAsia="Times New Roman" w:cstheme="minorHAnsi"/>
          <w:sz w:val="24"/>
          <w:szCs w:val="24"/>
        </w:rPr>
        <w:t>a</w:t>
      </w:r>
      <w:proofErr w:type="gramEnd"/>
      <w:r w:rsidRPr="008515D9">
        <w:rPr>
          <w:rFonts w:eastAsia="Times New Roman" w:cstheme="minorHAnsi"/>
          <w:sz w:val="24"/>
          <w:szCs w:val="24"/>
        </w:rPr>
        <w:t>) The Superintendent of Public Instruction shall select an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entity (the "evaluating entity") to conduct a long-term evaluation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of the Partnership Academies conducted pursuant to this article using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 random assignment of pupils into program and control groups.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participation of any school district in this long-term evaluation is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voluntary.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(b) In order to qualify for participation in the evaluation of any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Partnership Academy as described in subdivision (a), a school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district shall demonstrate that the number of pupils seeking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admission to the academy, who qualify for admission under applicable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criteria, exceeds the number of openings in the academy.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(c) The evaluation shall be conducted on a basis that results in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no net cost to the state or to any participating school district.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evaluating entity is responsible for obtaining, from other sources,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any funding that is necessary for the purposes of subdivision (a).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(d) Notwithstanding any other provision of law, the evaluating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entity shall have access to pupil records, to the extent permitted by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federal law, as necessary to perform the evaluation. The evaluating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entity shall ensure that all personally identifiable information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regarding any pupil and his or her parent or guardian remains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confidential.</w:t>
      </w:r>
    </w:p>
    <w:p w:rsidR="008515D9" w:rsidRPr="008515D9" w:rsidRDefault="008515D9" w:rsidP="0085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515D9">
        <w:rPr>
          <w:rFonts w:eastAsia="Times New Roman" w:cstheme="minorHAnsi"/>
          <w:sz w:val="24"/>
          <w:szCs w:val="24"/>
        </w:rPr>
        <w:t xml:space="preserve">   (e) The evaluating entity shall coordinate its evaluation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activities under subdivision (a) with the Superintendent of Public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Instruction, and provide the superintendent with the results of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evaluation upon completion. The Superintendent of Public Instruction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15D9">
        <w:rPr>
          <w:rFonts w:eastAsia="Times New Roman" w:cstheme="minorHAnsi"/>
          <w:sz w:val="24"/>
          <w:szCs w:val="24"/>
        </w:rPr>
        <w:t>shall submit the results of the evaluation to the Legislature.</w:t>
      </w:r>
    </w:p>
    <w:sectPr w:rsidR="008515D9" w:rsidRPr="008515D9" w:rsidSect="00FE09A8">
      <w:foot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1C" w:rsidRDefault="0068391C" w:rsidP="00AA1B80">
      <w:pPr>
        <w:spacing w:after="0" w:line="240" w:lineRule="auto"/>
      </w:pPr>
      <w:r>
        <w:separator/>
      </w:r>
    </w:p>
  </w:endnote>
  <w:endnote w:type="continuationSeparator" w:id="0">
    <w:p w:rsidR="0068391C" w:rsidRDefault="0068391C" w:rsidP="00AA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248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1B80" w:rsidRDefault="00AA1B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1B80" w:rsidRDefault="00AA1B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1C" w:rsidRDefault="0068391C" w:rsidP="00AA1B80">
      <w:pPr>
        <w:spacing w:after="0" w:line="240" w:lineRule="auto"/>
      </w:pPr>
      <w:r>
        <w:separator/>
      </w:r>
    </w:p>
  </w:footnote>
  <w:footnote w:type="continuationSeparator" w:id="0">
    <w:p w:rsidR="0068391C" w:rsidRDefault="0068391C" w:rsidP="00AA1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7B"/>
    <w:rsid w:val="0006735F"/>
    <w:rsid w:val="0014402D"/>
    <w:rsid w:val="00503AD6"/>
    <w:rsid w:val="0068391C"/>
    <w:rsid w:val="007E291C"/>
    <w:rsid w:val="0083717B"/>
    <w:rsid w:val="008515D9"/>
    <w:rsid w:val="00AA1B80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17B"/>
    <w:rPr>
      <w:color w:val="0000FF" w:themeColor="hyperlink"/>
      <w:u w:val="single"/>
    </w:rPr>
  </w:style>
  <w:style w:type="character" w:customStyle="1" w:styleId="field-content">
    <w:name w:val="field-content"/>
    <w:basedOn w:val="DefaultParagraphFont"/>
    <w:rsid w:val="0083717B"/>
  </w:style>
  <w:style w:type="character" w:styleId="Emphasis">
    <w:name w:val="Emphasis"/>
    <w:basedOn w:val="DefaultParagraphFont"/>
    <w:uiPriority w:val="20"/>
    <w:qFormat/>
    <w:rsid w:val="0083717B"/>
    <w:rPr>
      <w:i/>
      <w:iCs/>
    </w:rPr>
  </w:style>
  <w:style w:type="character" w:styleId="Strong">
    <w:name w:val="Strong"/>
    <w:basedOn w:val="DefaultParagraphFont"/>
    <w:uiPriority w:val="22"/>
    <w:qFormat/>
    <w:rsid w:val="008515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5D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1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B80"/>
  </w:style>
  <w:style w:type="paragraph" w:styleId="Footer">
    <w:name w:val="footer"/>
    <w:basedOn w:val="Normal"/>
    <w:link w:val="FooterChar"/>
    <w:uiPriority w:val="99"/>
    <w:unhideWhenUsed/>
    <w:rsid w:val="00AA1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17B"/>
    <w:rPr>
      <w:color w:val="0000FF" w:themeColor="hyperlink"/>
      <w:u w:val="single"/>
    </w:rPr>
  </w:style>
  <w:style w:type="character" w:customStyle="1" w:styleId="field-content">
    <w:name w:val="field-content"/>
    <w:basedOn w:val="DefaultParagraphFont"/>
    <w:rsid w:val="0083717B"/>
  </w:style>
  <w:style w:type="character" w:styleId="Emphasis">
    <w:name w:val="Emphasis"/>
    <w:basedOn w:val="DefaultParagraphFont"/>
    <w:uiPriority w:val="20"/>
    <w:qFormat/>
    <w:rsid w:val="0083717B"/>
    <w:rPr>
      <w:i/>
      <w:iCs/>
    </w:rPr>
  </w:style>
  <w:style w:type="character" w:styleId="Strong">
    <w:name w:val="Strong"/>
    <w:basedOn w:val="DefaultParagraphFont"/>
    <w:uiPriority w:val="22"/>
    <w:qFormat/>
    <w:rsid w:val="008515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5D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1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B80"/>
  </w:style>
  <w:style w:type="paragraph" w:styleId="Footer">
    <w:name w:val="footer"/>
    <w:basedOn w:val="Normal"/>
    <w:link w:val="FooterChar"/>
    <w:uiPriority w:val="99"/>
    <w:unhideWhenUsed/>
    <w:rsid w:val="00AA1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2013-03-09T23:01:00Z</cp:lastPrinted>
  <dcterms:created xsi:type="dcterms:W3CDTF">2013-03-09T22:57:00Z</dcterms:created>
  <dcterms:modified xsi:type="dcterms:W3CDTF">2013-03-09T23:04:00Z</dcterms:modified>
</cp:coreProperties>
</file>